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42" w:rsidRPr="00434F42" w:rsidRDefault="00434F42" w:rsidP="00434F42">
      <w:pPr>
        <w:shd w:val="clear" w:color="auto" w:fill="FFFFFF"/>
        <w:spacing w:after="0" w:line="240" w:lineRule="auto"/>
        <w:outlineLvl w:val="0"/>
        <w:rPr>
          <w:rFonts w:ascii="CabinSemiBold" w:eastAsia="Times New Roman" w:hAnsi="CabinSemiBold" w:cs="Helvetica"/>
          <w:color w:val="333333"/>
          <w:kern w:val="36"/>
          <w:sz w:val="42"/>
          <w:szCs w:val="42"/>
        </w:rPr>
      </w:pPr>
      <w:bookmarkStart w:id="0" w:name="_GoBack"/>
      <w:bookmarkEnd w:id="0"/>
      <w:r w:rsidRPr="00434F42">
        <w:rPr>
          <w:rFonts w:ascii="CabinSemiBold" w:eastAsia="Times New Roman" w:hAnsi="CabinSemiBold" w:cs="Helvetica"/>
          <w:color w:val="333333"/>
          <w:kern w:val="36"/>
          <w:sz w:val="42"/>
          <w:szCs w:val="42"/>
        </w:rPr>
        <w:t>NY Construction Contractor Pays $5 Million To Settle Whistleblower Case</w:t>
      </w:r>
    </w:p>
    <w:p w:rsidR="00434F42" w:rsidRPr="00434F42" w:rsidRDefault="00434F42" w:rsidP="00434F42">
      <w:pPr>
        <w:shd w:val="clear" w:color="auto" w:fill="FFFFFF"/>
        <w:spacing w:after="0" w:line="368" w:lineRule="atLeast"/>
        <w:rPr>
          <w:rFonts w:ascii="OpenSansReg" w:eastAsia="Times New Roman" w:hAnsi="OpenSansReg" w:cs="Helvetica"/>
          <w:color w:val="333333"/>
          <w:sz w:val="21"/>
          <w:szCs w:val="21"/>
        </w:rPr>
      </w:pPr>
      <w:hyperlink r:id="rId4" w:tooltip="View Kurt Niland's profile" w:history="1">
        <w:r w:rsidRPr="00434F42">
          <w:rPr>
            <w:rFonts w:ascii="OpenSansBold" w:eastAsia="Times New Roman" w:hAnsi="OpenSansBold" w:cs="Helvetica"/>
            <w:color w:val="444444"/>
            <w:sz w:val="20"/>
            <w:szCs w:val="20"/>
            <w:bdr w:val="none" w:sz="0" w:space="0" w:color="auto" w:frame="1"/>
          </w:rPr>
          <w:t xml:space="preserve">Kurt Niland </w:t>
        </w:r>
      </w:hyperlink>
      <w:r w:rsidRPr="00434F42">
        <w:rPr>
          <w:rFonts w:ascii="OpenSansReg" w:eastAsia="Times New Roman" w:hAnsi="OpenSansReg" w:cs="Helvetica"/>
          <w:color w:val="444444"/>
          <w:sz w:val="17"/>
          <w:szCs w:val="17"/>
        </w:rPr>
        <w:t xml:space="preserve">March 22, 2016 </w:t>
      </w:r>
    </w:p>
    <w:p w:rsidR="00434F42" w:rsidRPr="00434F42" w:rsidRDefault="00434F42" w:rsidP="00434F42">
      <w:pPr>
        <w:shd w:val="clear" w:color="auto" w:fill="FFFFFF"/>
        <w:spacing w:after="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A Syracuse, N.Y., </w:t>
      </w:r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 xml:space="preserve">construction firm and </w:t>
      </w:r>
      <w:hyperlink r:id="rId5" w:tooltip="Posts tagged with government contractor" w:history="1">
        <w:r w:rsidRPr="00434F42">
          <w:rPr>
            <w:rFonts w:ascii="OpenSansBold" w:eastAsia="Times New Roman" w:hAnsi="OpenSansBold" w:cs="Helvetica"/>
            <w:b/>
            <w:bCs/>
            <w:color w:val="B33232"/>
            <w:sz w:val="20"/>
            <w:szCs w:val="20"/>
            <w:bdr w:val="none" w:sz="0" w:space="0" w:color="auto" w:frame="1"/>
          </w:rPr>
          <w:t>government contractor</w:t>
        </w:r>
      </w:hyperlink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has agreed to pay the U.S. $5 million to resolve a </w:t>
      </w:r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 xml:space="preserve">False </w:t>
      </w:r>
      <w:hyperlink r:id="rId6" w:tooltip="Posts tagged with claims" w:history="1">
        <w:r w:rsidRPr="00434F42">
          <w:rPr>
            <w:rFonts w:ascii="OpenSansBold" w:eastAsia="Times New Roman" w:hAnsi="OpenSansBold" w:cs="Helvetica"/>
            <w:b/>
            <w:bCs/>
            <w:color w:val="B33232"/>
            <w:sz w:val="20"/>
            <w:szCs w:val="20"/>
            <w:bdr w:val="none" w:sz="0" w:space="0" w:color="auto" w:frame="1"/>
          </w:rPr>
          <w:t>Claims</w:t>
        </w:r>
      </w:hyperlink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 xml:space="preserve"> Act</w:t>
      </w: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</w:t>
      </w:r>
      <w:hyperlink r:id="rId7" w:tooltip="Posts tagged with lawsuit" w:history="1">
        <w:r w:rsidRPr="00434F42">
          <w:rPr>
            <w:rFonts w:ascii="OpenSansReg" w:eastAsia="Times New Roman" w:hAnsi="OpenSansReg" w:cs="Helvetica"/>
            <w:color w:val="B33232"/>
            <w:sz w:val="20"/>
            <w:szCs w:val="20"/>
            <w:bdr w:val="none" w:sz="0" w:space="0" w:color="auto" w:frame="1"/>
          </w:rPr>
          <w:t>lawsuit</w:t>
        </w:r>
      </w:hyperlink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alleging that it orchestrated a scheme between company officials and affiliates to win contracting bids reserved for companies owned and operated by service-disabled veterans.</w:t>
      </w:r>
    </w:p>
    <w:p w:rsidR="00434F42" w:rsidRPr="00434F42" w:rsidRDefault="00434F42" w:rsidP="00434F42">
      <w:pPr>
        <w:shd w:val="clear" w:color="auto" w:fill="FFFFFF"/>
        <w:spacing w:after="15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According to the U.S. Justice Department, the fraudulent scheme involved </w:t>
      </w:r>
      <w:proofErr w:type="spellStart"/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>Hayner</w:t>
      </w:r>
      <w:proofErr w:type="spellEnd"/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 xml:space="preserve"> Hoyt Corporation</w:t>
      </w: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’s chairman and chief executive officer Gary Thurston, its president, Jeremy Thurston, employees Ralph Bennett and Steve Benedict, and two affiliate companies – </w:t>
      </w:r>
      <w:proofErr w:type="spellStart"/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>LeMoyne</w:t>
      </w:r>
      <w:proofErr w:type="spellEnd"/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 xml:space="preserve"> Interiors</w:t>
      </w: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and </w:t>
      </w:r>
      <w:proofErr w:type="spellStart"/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>Doyner</w:t>
      </w:r>
      <w:proofErr w:type="spellEnd"/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 xml:space="preserve"> Inc.</w:t>
      </w:r>
    </w:p>
    <w:p w:rsidR="00434F42" w:rsidRPr="00434F42" w:rsidRDefault="00434F42" w:rsidP="00434F42">
      <w:pPr>
        <w:shd w:val="clear" w:color="auto" w:fill="FFFFFF"/>
        <w:spacing w:after="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The </w:t>
      </w:r>
      <w:hyperlink r:id="rId8" w:tooltip="Posts tagged with whistleblower" w:history="1">
        <w:r w:rsidRPr="00434F42">
          <w:rPr>
            <w:rFonts w:ascii="OpenSansReg" w:eastAsia="Times New Roman" w:hAnsi="OpenSansReg" w:cs="Helvetica"/>
            <w:color w:val="B33232"/>
            <w:sz w:val="20"/>
            <w:szCs w:val="20"/>
            <w:bdr w:val="none" w:sz="0" w:space="0" w:color="auto" w:frame="1"/>
          </w:rPr>
          <w:t>whistleblower</w:t>
        </w:r>
      </w:hyperlink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case alleged defendants conspired to take advantage of the </w:t>
      </w:r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>service-disabled, veteran-owned small business program</w:t>
      </w: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to win government contracts for a now-defunct company, </w:t>
      </w:r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>229 Constructors LLC</w:t>
      </w: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, that Gary and Jeremy Thurston created and controlled, and for subcontracts for </w:t>
      </w:r>
      <w:proofErr w:type="spellStart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Hayner</w:t>
      </w:r>
      <w:proofErr w:type="spellEnd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Hoyt and its affiliates.</w:t>
      </w:r>
    </w:p>
    <w:p w:rsidR="00434F42" w:rsidRPr="00434F42" w:rsidRDefault="00434F42" w:rsidP="00434F42">
      <w:pPr>
        <w:shd w:val="clear" w:color="auto" w:fill="FFFFFF"/>
        <w:spacing w:after="15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The </w:t>
      </w:r>
      <w:proofErr w:type="spellStart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Thurstons</w:t>
      </w:r>
      <w:proofErr w:type="spellEnd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– neither of whom is a veteran – effectively controlled 229 Constructors’ decision-making during all phases of the bid process and contract fulfilment in various ways, even staffing the company entirely with </w:t>
      </w:r>
      <w:proofErr w:type="spellStart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Hayner</w:t>
      </w:r>
      <w:proofErr w:type="spellEnd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Hoyt employees and their spouses.</w:t>
      </w:r>
    </w:p>
    <w:p w:rsidR="00434F42" w:rsidRPr="00434F42" w:rsidRDefault="00434F42" w:rsidP="00434F42">
      <w:pPr>
        <w:shd w:val="clear" w:color="auto" w:fill="FFFFFF"/>
        <w:spacing w:after="15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They also provided 229 Constructors with considerable resources, which gave the company a competitive advantage over legitimate service-disabled, veteran-owned small businesses.</w:t>
      </w:r>
    </w:p>
    <w:p w:rsidR="00434F42" w:rsidRPr="00434F42" w:rsidRDefault="00434F42" w:rsidP="00434F42">
      <w:pPr>
        <w:shd w:val="clear" w:color="auto" w:fill="FFFFFF"/>
        <w:spacing w:after="15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proofErr w:type="spellStart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Hayner</w:t>
      </w:r>
      <w:proofErr w:type="spellEnd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Hoyt officials made false certifications and statements to the government, claiming that that 229 Constructors met all requirements to be a service-disabled, veteran-owned small business when, in fact, they did not.</w:t>
      </w:r>
    </w:p>
    <w:p w:rsidR="00434F42" w:rsidRPr="00434F42" w:rsidRDefault="00434F42" w:rsidP="00434F42">
      <w:pPr>
        <w:shd w:val="clear" w:color="auto" w:fill="FFFFFF"/>
        <w:spacing w:after="15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The government’s investigation revealed that Bennett – a service-disabled veteran who ostensibly served as 229 Constructors’ president and oversaw its $14.4 million government-contract portfolio – actually was not involved in making decisions for the company. He was, instead, responsible for plowing snow from </w:t>
      </w:r>
      <w:proofErr w:type="spellStart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Hayner</w:t>
      </w:r>
      <w:proofErr w:type="spellEnd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Hoyt’s property and keeping track of tool inventory.</w:t>
      </w:r>
    </w:p>
    <w:p w:rsidR="00434F42" w:rsidRPr="00434F42" w:rsidRDefault="00434F42" w:rsidP="00434F42">
      <w:pPr>
        <w:shd w:val="clear" w:color="auto" w:fill="FFFFFF"/>
        <w:spacing w:after="15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The U.S. Justice Department said that </w:t>
      </w:r>
      <w:proofErr w:type="spellStart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Hayner</w:t>
      </w:r>
      <w:proofErr w:type="spellEnd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Hoyt’s actions robbed legitimate disabled veterans and their companies of the opportunities to contract with the federal government.</w:t>
      </w:r>
    </w:p>
    <w:p w:rsidR="00434F42" w:rsidRPr="00434F42" w:rsidRDefault="00434F42" w:rsidP="00434F42">
      <w:pPr>
        <w:shd w:val="clear" w:color="auto" w:fill="FFFFFF"/>
        <w:spacing w:after="15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“</w:t>
      </w:r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>Federal contracting programs</w:t>
      </w: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designed to help service-disabled veteran-owned small businesses should never be undermined by actions such as the ones taken by </w:t>
      </w:r>
      <w:proofErr w:type="spellStart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Hayner</w:t>
      </w:r>
      <w:proofErr w:type="spellEnd"/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Hoyt Corporation officials to divert contracts to ineligible large firms,” said Inspector General Peggy E. Gustafson for the Small Business Administration (SBA), who helped investigate the case.</w:t>
      </w:r>
    </w:p>
    <w:p w:rsidR="00434F42" w:rsidRPr="00434F42" w:rsidRDefault="00434F42" w:rsidP="00434F42">
      <w:pPr>
        <w:shd w:val="clear" w:color="auto" w:fill="FFFFFF"/>
        <w:spacing w:after="150"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The government’s allegations stemmed from a lawsuit filed by a </w:t>
      </w:r>
      <w:r w:rsidRPr="00434F42">
        <w:rPr>
          <w:rFonts w:ascii="OpenSansBold" w:eastAsia="Times New Roman" w:hAnsi="OpenSansBold" w:cs="Helvetica"/>
          <w:b/>
          <w:bCs/>
          <w:color w:val="333333"/>
          <w:sz w:val="20"/>
          <w:szCs w:val="20"/>
        </w:rPr>
        <w:t>whistleblower</w:t>
      </w: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 xml:space="preserve"> under the False Claims Act, which allows private parties to sue on behalf of the federal government and share a part of the recovery. The U.S Justice </w:t>
      </w: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lastRenderedPageBreak/>
        <w:t>Department said that the whistleblower in this case will receive $875,000 of the settlement proceeds as an award for exposing the fraudulent scheme to the government.</w:t>
      </w:r>
    </w:p>
    <w:p w:rsidR="00434F42" w:rsidRPr="00434F42" w:rsidRDefault="00434F42" w:rsidP="00434F42">
      <w:pPr>
        <w:shd w:val="clear" w:color="auto" w:fill="FFFFFF"/>
        <w:spacing w:line="368" w:lineRule="atLeast"/>
        <w:rPr>
          <w:rFonts w:ascii="OpenSansReg" w:eastAsia="Times New Roman" w:hAnsi="OpenSansReg" w:cs="Helvetica"/>
          <w:color w:val="333333"/>
          <w:sz w:val="20"/>
          <w:szCs w:val="20"/>
        </w:rPr>
      </w:pPr>
      <w:r w:rsidRPr="00434F42">
        <w:rPr>
          <w:rFonts w:ascii="OpenSansReg" w:eastAsia="Times New Roman" w:hAnsi="OpenSansReg" w:cs="Helvetica"/>
          <w:color w:val="333333"/>
          <w:sz w:val="20"/>
          <w:szCs w:val="20"/>
        </w:rPr>
        <w:t>Source: </w:t>
      </w:r>
      <w:hyperlink r:id="rId9" w:tgtFrame="_blank" w:tooltip="The Hayner Hoyt Corporation to Pay $5 Million to Resolve False Claims Act Liability" w:history="1">
        <w:r w:rsidRPr="00434F42">
          <w:rPr>
            <w:rFonts w:ascii="OpenSansReg" w:eastAsia="Times New Roman" w:hAnsi="OpenSansReg" w:cs="Helvetica"/>
            <w:color w:val="B33232"/>
            <w:sz w:val="20"/>
            <w:szCs w:val="20"/>
            <w:bdr w:val="none" w:sz="0" w:space="0" w:color="auto" w:frame="1"/>
          </w:rPr>
          <w:t>U.S. Department of Justice</w:t>
        </w:r>
      </w:hyperlink>
    </w:p>
    <w:p w:rsidR="007814B1" w:rsidRDefault="007814B1"/>
    <w:sectPr w:rsidR="0078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binSemi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Reg">
    <w:altName w:val="Times New Roman"/>
    <w:charset w:val="00"/>
    <w:family w:val="auto"/>
    <w:pitch w:val="default"/>
  </w:font>
  <w:font w:name="OpenSans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42"/>
    <w:rsid w:val="00005D0D"/>
    <w:rsid w:val="00006803"/>
    <w:rsid w:val="00006AC8"/>
    <w:rsid w:val="00013ED1"/>
    <w:rsid w:val="000146DE"/>
    <w:rsid w:val="00022E8E"/>
    <w:rsid w:val="00030C7D"/>
    <w:rsid w:val="0003220F"/>
    <w:rsid w:val="00032D28"/>
    <w:rsid w:val="00035482"/>
    <w:rsid w:val="00044A3B"/>
    <w:rsid w:val="00050278"/>
    <w:rsid w:val="000571C7"/>
    <w:rsid w:val="000739BC"/>
    <w:rsid w:val="00073A8E"/>
    <w:rsid w:val="0007626C"/>
    <w:rsid w:val="000775F3"/>
    <w:rsid w:val="00082C87"/>
    <w:rsid w:val="0008780A"/>
    <w:rsid w:val="00091E5C"/>
    <w:rsid w:val="000920C5"/>
    <w:rsid w:val="0009327C"/>
    <w:rsid w:val="0009454A"/>
    <w:rsid w:val="00097D41"/>
    <w:rsid w:val="000A17CF"/>
    <w:rsid w:val="000A1C5A"/>
    <w:rsid w:val="000A698D"/>
    <w:rsid w:val="000B0280"/>
    <w:rsid w:val="000B34F0"/>
    <w:rsid w:val="000B62A5"/>
    <w:rsid w:val="000B64D7"/>
    <w:rsid w:val="000C0E68"/>
    <w:rsid w:val="000C14BC"/>
    <w:rsid w:val="000C6A46"/>
    <w:rsid w:val="000D3E79"/>
    <w:rsid w:val="000D6425"/>
    <w:rsid w:val="000D6A8C"/>
    <w:rsid w:val="000D6EEB"/>
    <w:rsid w:val="000E0D7D"/>
    <w:rsid w:val="000E4676"/>
    <w:rsid w:val="000E7793"/>
    <w:rsid w:val="00101BC2"/>
    <w:rsid w:val="0010541E"/>
    <w:rsid w:val="00111EC5"/>
    <w:rsid w:val="0012344F"/>
    <w:rsid w:val="00125CDC"/>
    <w:rsid w:val="00131DD5"/>
    <w:rsid w:val="00133AB7"/>
    <w:rsid w:val="001342FA"/>
    <w:rsid w:val="00136418"/>
    <w:rsid w:val="00136D09"/>
    <w:rsid w:val="0015568F"/>
    <w:rsid w:val="001628EE"/>
    <w:rsid w:val="00164567"/>
    <w:rsid w:val="00165E1B"/>
    <w:rsid w:val="00174CC3"/>
    <w:rsid w:val="001817DD"/>
    <w:rsid w:val="0019484E"/>
    <w:rsid w:val="00195205"/>
    <w:rsid w:val="00196EC7"/>
    <w:rsid w:val="001A22C3"/>
    <w:rsid w:val="001A5554"/>
    <w:rsid w:val="001A5873"/>
    <w:rsid w:val="001A6013"/>
    <w:rsid w:val="001B12B3"/>
    <w:rsid w:val="001B1408"/>
    <w:rsid w:val="001C4C21"/>
    <w:rsid w:val="001C6257"/>
    <w:rsid w:val="001D13B0"/>
    <w:rsid w:val="001D327B"/>
    <w:rsid w:val="001D3A67"/>
    <w:rsid w:val="001D5027"/>
    <w:rsid w:val="001E1528"/>
    <w:rsid w:val="001E3C3F"/>
    <w:rsid w:val="001E5A76"/>
    <w:rsid w:val="001F10A0"/>
    <w:rsid w:val="001F5FA2"/>
    <w:rsid w:val="00205B1B"/>
    <w:rsid w:val="00206FA5"/>
    <w:rsid w:val="00212D23"/>
    <w:rsid w:val="002146C0"/>
    <w:rsid w:val="002271F6"/>
    <w:rsid w:val="002313B8"/>
    <w:rsid w:val="00233308"/>
    <w:rsid w:val="0023637B"/>
    <w:rsid w:val="00243758"/>
    <w:rsid w:val="00243AF3"/>
    <w:rsid w:val="00245430"/>
    <w:rsid w:val="00253F0E"/>
    <w:rsid w:val="00254D14"/>
    <w:rsid w:val="002574DE"/>
    <w:rsid w:val="00276D2F"/>
    <w:rsid w:val="00277E14"/>
    <w:rsid w:val="002815CC"/>
    <w:rsid w:val="0028166E"/>
    <w:rsid w:val="00282F85"/>
    <w:rsid w:val="002833D6"/>
    <w:rsid w:val="002934C4"/>
    <w:rsid w:val="002A35D3"/>
    <w:rsid w:val="002A3611"/>
    <w:rsid w:val="002A50CB"/>
    <w:rsid w:val="002B2B25"/>
    <w:rsid w:val="002C2AAE"/>
    <w:rsid w:val="002C6535"/>
    <w:rsid w:val="002D2896"/>
    <w:rsid w:val="002D56E3"/>
    <w:rsid w:val="002E3713"/>
    <w:rsid w:val="002E4315"/>
    <w:rsid w:val="002E629E"/>
    <w:rsid w:val="002E6FF8"/>
    <w:rsid w:val="002F1787"/>
    <w:rsid w:val="002F6798"/>
    <w:rsid w:val="00301BB7"/>
    <w:rsid w:val="00312520"/>
    <w:rsid w:val="00316E5E"/>
    <w:rsid w:val="003172C7"/>
    <w:rsid w:val="00326B67"/>
    <w:rsid w:val="0033637C"/>
    <w:rsid w:val="00337359"/>
    <w:rsid w:val="00344F80"/>
    <w:rsid w:val="0035208E"/>
    <w:rsid w:val="003A3C05"/>
    <w:rsid w:val="003B2A50"/>
    <w:rsid w:val="003C0F03"/>
    <w:rsid w:val="003C5253"/>
    <w:rsid w:val="003C636C"/>
    <w:rsid w:val="003E7B0F"/>
    <w:rsid w:val="003F2C96"/>
    <w:rsid w:val="0040181E"/>
    <w:rsid w:val="004021EB"/>
    <w:rsid w:val="00404286"/>
    <w:rsid w:val="00410317"/>
    <w:rsid w:val="00410386"/>
    <w:rsid w:val="00414377"/>
    <w:rsid w:val="00420DCC"/>
    <w:rsid w:val="0042402D"/>
    <w:rsid w:val="00434F42"/>
    <w:rsid w:val="004422A0"/>
    <w:rsid w:val="00446403"/>
    <w:rsid w:val="004474C5"/>
    <w:rsid w:val="00447E7F"/>
    <w:rsid w:val="00455EAA"/>
    <w:rsid w:val="004600ED"/>
    <w:rsid w:val="00461EF5"/>
    <w:rsid w:val="00476F67"/>
    <w:rsid w:val="00484599"/>
    <w:rsid w:val="0048760C"/>
    <w:rsid w:val="004878C1"/>
    <w:rsid w:val="0049337B"/>
    <w:rsid w:val="004938DA"/>
    <w:rsid w:val="00493943"/>
    <w:rsid w:val="004A07F0"/>
    <w:rsid w:val="004A2978"/>
    <w:rsid w:val="004B48A4"/>
    <w:rsid w:val="004B68B5"/>
    <w:rsid w:val="004B6A7B"/>
    <w:rsid w:val="004C2C21"/>
    <w:rsid w:val="004C32CF"/>
    <w:rsid w:val="004C35D0"/>
    <w:rsid w:val="004D2CB3"/>
    <w:rsid w:val="004D2F70"/>
    <w:rsid w:val="004D33A3"/>
    <w:rsid w:val="004D5131"/>
    <w:rsid w:val="004E07F2"/>
    <w:rsid w:val="004F2635"/>
    <w:rsid w:val="00500155"/>
    <w:rsid w:val="005006EE"/>
    <w:rsid w:val="00513EDB"/>
    <w:rsid w:val="00531204"/>
    <w:rsid w:val="005333C4"/>
    <w:rsid w:val="00545427"/>
    <w:rsid w:val="00563B19"/>
    <w:rsid w:val="00565909"/>
    <w:rsid w:val="0057018C"/>
    <w:rsid w:val="00571BFF"/>
    <w:rsid w:val="00574FF2"/>
    <w:rsid w:val="00580A8E"/>
    <w:rsid w:val="00584BDE"/>
    <w:rsid w:val="0058544C"/>
    <w:rsid w:val="00587F73"/>
    <w:rsid w:val="00593D04"/>
    <w:rsid w:val="005978CD"/>
    <w:rsid w:val="005A4076"/>
    <w:rsid w:val="005B0692"/>
    <w:rsid w:val="005B332C"/>
    <w:rsid w:val="005B54A0"/>
    <w:rsid w:val="005B595C"/>
    <w:rsid w:val="005B795F"/>
    <w:rsid w:val="005C236C"/>
    <w:rsid w:val="005C2E66"/>
    <w:rsid w:val="005C3092"/>
    <w:rsid w:val="005D5C85"/>
    <w:rsid w:val="005D6588"/>
    <w:rsid w:val="005E5E84"/>
    <w:rsid w:val="005F120F"/>
    <w:rsid w:val="005F334E"/>
    <w:rsid w:val="005F4DE2"/>
    <w:rsid w:val="00604F2E"/>
    <w:rsid w:val="00606329"/>
    <w:rsid w:val="0061043A"/>
    <w:rsid w:val="0061184E"/>
    <w:rsid w:val="0062004B"/>
    <w:rsid w:val="00620FFF"/>
    <w:rsid w:val="006245F3"/>
    <w:rsid w:val="00624763"/>
    <w:rsid w:val="006266A9"/>
    <w:rsid w:val="0063360C"/>
    <w:rsid w:val="00636CB7"/>
    <w:rsid w:val="00642A45"/>
    <w:rsid w:val="00655413"/>
    <w:rsid w:val="00662375"/>
    <w:rsid w:val="00662B57"/>
    <w:rsid w:val="00667D2C"/>
    <w:rsid w:val="00671669"/>
    <w:rsid w:val="00677A17"/>
    <w:rsid w:val="00686382"/>
    <w:rsid w:val="00686BFF"/>
    <w:rsid w:val="00693F8C"/>
    <w:rsid w:val="006A5D01"/>
    <w:rsid w:val="006B1C93"/>
    <w:rsid w:val="006B5150"/>
    <w:rsid w:val="006B61FE"/>
    <w:rsid w:val="006C1DD8"/>
    <w:rsid w:val="006C4AA9"/>
    <w:rsid w:val="006C5CD3"/>
    <w:rsid w:val="006D0C2C"/>
    <w:rsid w:val="006E0484"/>
    <w:rsid w:val="006E497E"/>
    <w:rsid w:val="006F3AAB"/>
    <w:rsid w:val="006F5167"/>
    <w:rsid w:val="006F746A"/>
    <w:rsid w:val="00701331"/>
    <w:rsid w:val="00702F48"/>
    <w:rsid w:val="00703D79"/>
    <w:rsid w:val="00706E72"/>
    <w:rsid w:val="00710328"/>
    <w:rsid w:val="00713348"/>
    <w:rsid w:val="007150C6"/>
    <w:rsid w:val="00717088"/>
    <w:rsid w:val="0071768E"/>
    <w:rsid w:val="0073304D"/>
    <w:rsid w:val="0073325F"/>
    <w:rsid w:val="00762522"/>
    <w:rsid w:val="00763BB6"/>
    <w:rsid w:val="007648A8"/>
    <w:rsid w:val="00771E6B"/>
    <w:rsid w:val="00775B5D"/>
    <w:rsid w:val="007814B1"/>
    <w:rsid w:val="007829E0"/>
    <w:rsid w:val="00782CD1"/>
    <w:rsid w:val="00784D34"/>
    <w:rsid w:val="00796DA8"/>
    <w:rsid w:val="007A38F7"/>
    <w:rsid w:val="007A47D5"/>
    <w:rsid w:val="007B57C7"/>
    <w:rsid w:val="007B5D00"/>
    <w:rsid w:val="007B70E6"/>
    <w:rsid w:val="007B7858"/>
    <w:rsid w:val="007C1F01"/>
    <w:rsid w:val="007C3769"/>
    <w:rsid w:val="007C3D0D"/>
    <w:rsid w:val="007C705A"/>
    <w:rsid w:val="007D0097"/>
    <w:rsid w:val="007D1A3A"/>
    <w:rsid w:val="007D674B"/>
    <w:rsid w:val="007E4777"/>
    <w:rsid w:val="007F120A"/>
    <w:rsid w:val="007F1E58"/>
    <w:rsid w:val="007F4D96"/>
    <w:rsid w:val="007F6E90"/>
    <w:rsid w:val="00802D28"/>
    <w:rsid w:val="00813A9B"/>
    <w:rsid w:val="00814922"/>
    <w:rsid w:val="0081746B"/>
    <w:rsid w:val="00817CB7"/>
    <w:rsid w:val="00822678"/>
    <w:rsid w:val="008234A8"/>
    <w:rsid w:val="00827184"/>
    <w:rsid w:val="0083017F"/>
    <w:rsid w:val="00831C11"/>
    <w:rsid w:val="00832AB8"/>
    <w:rsid w:val="00835831"/>
    <w:rsid w:val="00856DE9"/>
    <w:rsid w:val="00856E34"/>
    <w:rsid w:val="00881542"/>
    <w:rsid w:val="00882DA6"/>
    <w:rsid w:val="0089227F"/>
    <w:rsid w:val="008959B2"/>
    <w:rsid w:val="008A192C"/>
    <w:rsid w:val="008A29D8"/>
    <w:rsid w:val="008B175E"/>
    <w:rsid w:val="008B1F0E"/>
    <w:rsid w:val="008C2656"/>
    <w:rsid w:val="008C2846"/>
    <w:rsid w:val="008C7748"/>
    <w:rsid w:val="008D3DBC"/>
    <w:rsid w:val="008E0AAE"/>
    <w:rsid w:val="008E7335"/>
    <w:rsid w:val="008E7AFB"/>
    <w:rsid w:val="008F220F"/>
    <w:rsid w:val="008F483F"/>
    <w:rsid w:val="0090086E"/>
    <w:rsid w:val="00903816"/>
    <w:rsid w:val="0090617E"/>
    <w:rsid w:val="00913D72"/>
    <w:rsid w:val="00915DDA"/>
    <w:rsid w:val="0091764D"/>
    <w:rsid w:val="0092689F"/>
    <w:rsid w:val="00931E6A"/>
    <w:rsid w:val="009330BC"/>
    <w:rsid w:val="00942235"/>
    <w:rsid w:val="0094249E"/>
    <w:rsid w:val="009613E7"/>
    <w:rsid w:val="009646AF"/>
    <w:rsid w:val="009655D4"/>
    <w:rsid w:val="009660EA"/>
    <w:rsid w:val="00966C8F"/>
    <w:rsid w:val="00970800"/>
    <w:rsid w:val="0097246F"/>
    <w:rsid w:val="009778C5"/>
    <w:rsid w:val="00990036"/>
    <w:rsid w:val="00990744"/>
    <w:rsid w:val="00990CA0"/>
    <w:rsid w:val="00992755"/>
    <w:rsid w:val="00995058"/>
    <w:rsid w:val="00997B10"/>
    <w:rsid w:val="00997C57"/>
    <w:rsid w:val="009A4AE0"/>
    <w:rsid w:val="009A6BC3"/>
    <w:rsid w:val="009B04B3"/>
    <w:rsid w:val="009B4536"/>
    <w:rsid w:val="009B7D1B"/>
    <w:rsid w:val="009C035B"/>
    <w:rsid w:val="009C25EB"/>
    <w:rsid w:val="009D4138"/>
    <w:rsid w:val="009D4548"/>
    <w:rsid w:val="009D57AC"/>
    <w:rsid w:val="009E62AF"/>
    <w:rsid w:val="009F45B8"/>
    <w:rsid w:val="009F6963"/>
    <w:rsid w:val="00A033AB"/>
    <w:rsid w:val="00A11220"/>
    <w:rsid w:val="00A22398"/>
    <w:rsid w:val="00A23A6A"/>
    <w:rsid w:val="00A249AA"/>
    <w:rsid w:val="00A266CF"/>
    <w:rsid w:val="00A30FB3"/>
    <w:rsid w:val="00A355C3"/>
    <w:rsid w:val="00A4792E"/>
    <w:rsid w:val="00A573E4"/>
    <w:rsid w:val="00A73CC6"/>
    <w:rsid w:val="00A763A0"/>
    <w:rsid w:val="00A77BCF"/>
    <w:rsid w:val="00A820B9"/>
    <w:rsid w:val="00A9683E"/>
    <w:rsid w:val="00AA033B"/>
    <w:rsid w:val="00AA1B27"/>
    <w:rsid w:val="00AB4125"/>
    <w:rsid w:val="00AB4EB7"/>
    <w:rsid w:val="00AB5F30"/>
    <w:rsid w:val="00AC3BB3"/>
    <w:rsid w:val="00AD6CE6"/>
    <w:rsid w:val="00AE015C"/>
    <w:rsid w:val="00AE5494"/>
    <w:rsid w:val="00AF1689"/>
    <w:rsid w:val="00AF4472"/>
    <w:rsid w:val="00B0751E"/>
    <w:rsid w:val="00B07765"/>
    <w:rsid w:val="00B139B8"/>
    <w:rsid w:val="00B25B22"/>
    <w:rsid w:val="00B25EE5"/>
    <w:rsid w:val="00B31437"/>
    <w:rsid w:val="00B33A27"/>
    <w:rsid w:val="00B4075D"/>
    <w:rsid w:val="00B41A01"/>
    <w:rsid w:val="00B41F37"/>
    <w:rsid w:val="00B433BA"/>
    <w:rsid w:val="00B44547"/>
    <w:rsid w:val="00B473A8"/>
    <w:rsid w:val="00B577AC"/>
    <w:rsid w:val="00B607B0"/>
    <w:rsid w:val="00B65D50"/>
    <w:rsid w:val="00B664DD"/>
    <w:rsid w:val="00B67A60"/>
    <w:rsid w:val="00B72179"/>
    <w:rsid w:val="00B75118"/>
    <w:rsid w:val="00B75944"/>
    <w:rsid w:val="00B80847"/>
    <w:rsid w:val="00B877B3"/>
    <w:rsid w:val="00B93269"/>
    <w:rsid w:val="00B93CBF"/>
    <w:rsid w:val="00B94110"/>
    <w:rsid w:val="00B978E0"/>
    <w:rsid w:val="00BA52A5"/>
    <w:rsid w:val="00BA66E0"/>
    <w:rsid w:val="00BA7BBB"/>
    <w:rsid w:val="00BB5027"/>
    <w:rsid w:val="00BB74CF"/>
    <w:rsid w:val="00BC0EB9"/>
    <w:rsid w:val="00BC140D"/>
    <w:rsid w:val="00BC5EFB"/>
    <w:rsid w:val="00BD622F"/>
    <w:rsid w:val="00BE4404"/>
    <w:rsid w:val="00BE65D1"/>
    <w:rsid w:val="00C025CF"/>
    <w:rsid w:val="00C02713"/>
    <w:rsid w:val="00C05830"/>
    <w:rsid w:val="00C0585E"/>
    <w:rsid w:val="00C1544A"/>
    <w:rsid w:val="00C254BF"/>
    <w:rsid w:val="00C32161"/>
    <w:rsid w:val="00C34BF2"/>
    <w:rsid w:val="00C36048"/>
    <w:rsid w:val="00C54451"/>
    <w:rsid w:val="00C63721"/>
    <w:rsid w:val="00C65D64"/>
    <w:rsid w:val="00C6664F"/>
    <w:rsid w:val="00C66B74"/>
    <w:rsid w:val="00C81266"/>
    <w:rsid w:val="00C83558"/>
    <w:rsid w:val="00C905D8"/>
    <w:rsid w:val="00C92B7E"/>
    <w:rsid w:val="00C95F59"/>
    <w:rsid w:val="00CA5862"/>
    <w:rsid w:val="00CA6449"/>
    <w:rsid w:val="00CB5209"/>
    <w:rsid w:val="00CB7F91"/>
    <w:rsid w:val="00CC0F27"/>
    <w:rsid w:val="00CC59C0"/>
    <w:rsid w:val="00CC75C8"/>
    <w:rsid w:val="00CD1862"/>
    <w:rsid w:val="00CD22F6"/>
    <w:rsid w:val="00CD34DF"/>
    <w:rsid w:val="00CD57DB"/>
    <w:rsid w:val="00CE47DF"/>
    <w:rsid w:val="00CE7194"/>
    <w:rsid w:val="00CF0900"/>
    <w:rsid w:val="00CF16B1"/>
    <w:rsid w:val="00CF1B8D"/>
    <w:rsid w:val="00D020BB"/>
    <w:rsid w:val="00D03EB2"/>
    <w:rsid w:val="00D067C6"/>
    <w:rsid w:val="00D07106"/>
    <w:rsid w:val="00D107C6"/>
    <w:rsid w:val="00D2253C"/>
    <w:rsid w:val="00D26065"/>
    <w:rsid w:val="00D33B92"/>
    <w:rsid w:val="00D37D9C"/>
    <w:rsid w:val="00D54033"/>
    <w:rsid w:val="00D55B93"/>
    <w:rsid w:val="00D57872"/>
    <w:rsid w:val="00D609A4"/>
    <w:rsid w:val="00D664EB"/>
    <w:rsid w:val="00D740F5"/>
    <w:rsid w:val="00D74575"/>
    <w:rsid w:val="00D768D6"/>
    <w:rsid w:val="00D77DBA"/>
    <w:rsid w:val="00D8727B"/>
    <w:rsid w:val="00D92A42"/>
    <w:rsid w:val="00DA58C7"/>
    <w:rsid w:val="00DA617A"/>
    <w:rsid w:val="00DA64B0"/>
    <w:rsid w:val="00DB4186"/>
    <w:rsid w:val="00DB4A05"/>
    <w:rsid w:val="00DB7E80"/>
    <w:rsid w:val="00DD2AC6"/>
    <w:rsid w:val="00DD32CB"/>
    <w:rsid w:val="00DD5767"/>
    <w:rsid w:val="00DD5A20"/>
    <w:rsid w:val="00DE1CF0"/>
    <w:rsid w:val="00DF2B80"/>
    <w:rsid w:val="00DF5D8A"/>
    <w:rsid w:val="00E00023"/>
    <w:rsid w:val="00E005F7"/>
    <w:rsid w:val="00E008F7"/>
    <w:rsid w:val="00E057FC"/>
    <w:rsid w:val="00E10626"/>
    <w:rsid w:val="00E124D8"/>
    <w:rsid w:val="00E14AC1"/>
    <w:rsid w:val="00E21E8B"/>
    <w:rsid w:val="00E23792"/>
    <w:rsid w:val="00E23E6A"/>
    <w:rsid w:val="00E243F2"/>
    <w:rsid w:val="00E25EA3"/>
    <w:rsid w:val="00E27533"/>
    <w:rsid w:val="00E373CA"/>
    <w:rsid w:val="00E42D03"/>
    <w:rsid w:val="00E4762F"/>
    <w:rsid w:val="00E479C8"/>
    <w:rsid w:val="00E5344F"/>
    <w:rsid w:val="00E70CF3"/>
    <w:rsid w:val="00E72A6E"/>
    <w:rsid w:val="00E7626F"/>
    <w:rsid w:val="00E77344"/>
    <w:rsid w:val="00E849FD"/>
    <w:rsid w:val="00E85774"/>
    <w:rsid w:val="00E86445"/>
    <w:rsid w:val="00E86E41"/>
    <w:rsid w:val="00E92C88"/>
    <w:rsid w:val="00E93758"/>
    <w:rsid w:val="00E97A7E"/>
    <w:rsid w:val="00EA3CB6"/>
    <w:rsid w:val="00EA5AB9"/>
    <w:rsid w:val="00EA6BB5"/>
    <w:rsid w:val="00EB1217"/>
    <w:rsid w:val="00EB3709"/>
    <w:rsid w:val="00EB4596"/>
    <w:rsid w:val="00EB5AD6"/>
    <w:rsid w:val="00EC5369"/>
    <w:rsid w:val="00EC6989"/>
    <w:rsid w:val="00EC7579"/>
    <w:rsid w:val="00ED0A7B"/>
    <w:rsid w:val="00ED3DA9"/>
    <w:rsid w:val="00EF1E19"/>
    <w:rsid w:val="00EF7853"/>
    <w:rsid w:val="00F10594"/>
    <w:rsid w:val="00F117E5"/>
    <w:rsid w:val="00F15149"/>
    <w:rsid w:val="00F151E5"/>
    <w:rsid w:val="00F26D08"/>
    <w:rsid w:val="00F33D16"/>
    <w:rsid w:val="00F44983"/>
    <w:rsid w:val="00F45CE2"/>
    <w:rsid w:val="00F45D60"/>
    <w:rsid w:val="00F564CE"/>
    <w:rsid w:val="00F5719C"/>
    <w:rsid w:val="00F63DC4"/>
    <w:rsid w:val="00F64CDF"/>
    <w:rsid w:val="00F64ED0"/>
    <w:rsid w:val="00F66CEA"/>
    <w:rsid w:val="00F70E69"/>
    <w:rsid w:val="00F72AF3"/>
    <w:rsid w:val="00F77A16"/>
    <w:rsid w:val="00F8086E"/>
    <w:rsid w:val="00F91255"/>
    <w:rsid w:val="00F97716"/>
    <w:rsid w:val="00FA581A"/>
    <w:rsid w:val="00FA5A98"/>
    <w:rsid w:val="00FB315B"/>
    <w:rsid w:val="00FB4046"/>
    <w:rsid w:val="00FB53C8"/>
    <w:rsid w:val="00FC1BED"/>
    <w:rsid w:val="00FC290E"/>
    <w:rsid w:val="00FC41DB"/>
    <w:rsid w:val="00FC5D05"/>
    <w:rsid w:val="00FC6F1B"/>
    <w:rsid w:val="00FD2943"/>
    <w:rsid w:val="00FE184E"/>
    <w:rsid w:val="00FE2876"/>
    <w:rsid w:val="00FE49B1"/>
    <w:rsid w:val="00FF017A"/>
    <w:rsid w:val="00FF06F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D2F9-3306-48A4-8727-A6E0D539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4F42"/>
    <w:pPr>
      <w:spacing w:after="0" w:line="240" w:lineRule="auto"/>
      <w:outlineLvl w:val="0"/>
    </w:pPr>
    <w:rPr>
      <w:rFonts w:ascii="CabinSemiBold" w:eastAsia="Times New Roman" w:hAnsi="CabinSemiBold" w:cs="Times New Roman"/>
      <w:color w:val="333333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F42"/>
    <w:rPr>
      <w:rFonts w:ascii="CabinSemiBold" w:eastAsia="Times New Roman" w:hAnsi="CabinSemiBold" w:cs="Times New Roman"/>
      <w:color w:val="333333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34F42"/>
    <w:rPr>
      <w:strike w:val="0"/>
      <w:dstrike w:val="0"/>
      <w:color w:val="B33232"/>
      <w:u w:val="none"/>
      <w:effect w:val="none"/>
      <w:bdr w:val="none" w:sz="0" w:space="0" w:color="auto" w:frame="1"/>
    </w:rPr>
  </w:style>
  <w:style w:type="character" w:customStyle="1" w:styleId="author-image2">
    <w:name w:val="author-image2"/>
    <w:basedOn w:val="DefaultParagraphFont"/>
    <w:rsid w:val="00434F42"/>
    <w:rPr>
      <w:vanish w:val="0"/>
      <w:webHidden w:val="0"/>
      <w:specVanish w:val="0"/>
    </w:rPr>
  </w:style>
  <w:style w:type="character" w:customStyle="1" w:styleId="post-author2">
    <w:name w:val="post-author2"/>
    <w:basedOn w:val="DefaultParagraphFont"/>
    <w:rsid w:val="00434F42"/>
  </w:style>
  <w:style w:type="character" w:customStyle="1" w:styleId="date3">
    <w:name w:val="date3"/>
    <w:basedOn w:val="DefaultParagraphFont"/>
    <w:rsid w:val="00434F42"/>
    <w:rPr>
      <w:vanish w:val="0"/>
      <w:webHidden w:val="0"/>
      <w:color w:val="444444"/>
      <w:sz w:val="19"/>
      <w:szCs w:val="1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90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247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1542">
                          <w:marLeft w:val="24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6927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5963">
                                  <w:marLeft w:val="0"/>
                                  <w:marRight w:val="0"/>
                                  <w:marTop w:val="3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2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2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htinginjustice.com/tag/whistleblow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ightinginjustice.com/tag/lawsu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ghtinginjustice.com/tag/claim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ghtinginjustice.com/tag/government-contracto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ightinginjustice.com/news/author/kurt-niland/" TargetMode="External"/><Relationship Id="rId9" Type="http://schemas.openxmlformats.org/officeDocument/2006/relationships/hyperlink" Target="https://www.justic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Wright</cp:lastModifiedBy>
  <cp:revision>1</cp:revision>
  <dcterms:created xsi:type="dcterms:W3CDTF">2016-03-28T20:29:00Z</dcterms:created>
  <dcterms:modified xsi:type="dcterms:W3CDTF">2017-07-28T14:34:00Z</dcterms:modified>
</cp:coreProperties>
</file>